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804"/>
        <w:gridCol w:w="44"/>
        <w:gridCol w:w="807"/>
        <w:gridCol w:w="708"/>
        <w:gridCol w:w="709"/>
        <w:gridCol w:w="2096"/>
        <w:gridCol w:w="456"/>
        <w:gridCol w:w="984"/>
        <w:gridCol w:w="1080"/>
        <w:gridCol w:w="1196"/>
        <w:gridCol w:w="709"/>
        <w:gridCol w:w="283"/>
        <w:gridCol w:w="284"/>
        <w:gridCol w:w="283"/>
      </w:tblGrid>
      <w:tr w:rsidR="00C02568">
        <w:trPr>
          <w:trHeight w:val="308"/>
        </w:trPr>
        <w:tc>
          <w:tcPr>
            <w:tcW w:w="5640" w:type="dxa"/>
            <w:gridSpan w:val="7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</w:pPr>
            <w:r>
              <w:rPr>
                <w:rFonts w:ascii="新細明體" w:hAnsi="新細明體"/>
                <w:b/>
                <w:sz w:val="32"/>
                <w:szCs w:val="32"/>
              </w:rPr>
              <w:t>泰山高中</w:t>
            </w:r>
            <w:r>
              <w:rPr>
                <w:rFonts w:ascii="新細明體" w:hAnsi="新細明體"/>
                <w:b/>
                <w:sz w:val="36"/>
                <w:szCs w:val="36"/>
              </w:rPr>
              <w:t>113</w:t>
            </w:r>
            <w:r>
              <w:rPr>
                <w:rFonts w:ascii="新細明體" w:hAnsi="新細明體"/>
                <w:b/>
                <w:sz w:val="32"/>
                <w:szCs w:val="32"/>
              </w:rPr>
              <w:t>學年第2學期教學計畫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教科書名</w:t>
            </w:r>
          </w:p>
        </w:tc>
        <w:tc>
          <w:tcPr>
            <w:tcW w:w="383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數學四B</w:t>
            </w:r>
          </w:p>
        </w:tc>
      </w:tr>
      <w:tr w:rsidR="00C02568">
        <w:trPr>
          <w:trHeight w:val="347"/>
        </w:trPr>
        <w:tc>
          <w:tcPr>
            <w:tcW w:w="5640" w:type="dxa"/>
            <w:gridSpan w:val="7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ind w:firstLine="120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出版書局</w:t>
            </w:r>
          </w:p>
        </w:tc>
        <w:tc>
          <w:tcPr>
            <w:tcW w:w="3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泰宇</w:t>
            </w:r>
          </w:p>
        </w:tc>
      </w:tr>
      <w:tr w:rsidR="00C02568">
        <w:trPr>
          <w:trHeight w:val="160"/>
        </w:trPr>
        <w:tc>
          <w:tcPr>
            <w:tcW w:w="132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班  別</w:t>
            </w:r>
          </w:p>
        </w:tc>
        <w:tc>
          <w:tcPr>
            <w:tcW w:w="2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科  目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編寫進度教師</w:t>
            </w:r>
          </w:p>
        </w:tc>
        <w:tc>
          <w:tcPr>
            <w:tcW w:w="527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共 同 科 目 教 師 簽 名</w:t>
            </w:r>
          </w:p>
        </w:tc>
      </w:tr>
      <w:tr w:rsidR="00C02568">
        <w:trPr>
          <w:trHeight w:val="348"/>
        </w:trPr>
        <w:tc>
          <w:tcPr>
            <w:tcW w:w="1320" w:type="dxa"/>
            <w:gridSpan w:val="3"/>
            <w:tcBorders>
              <w:top w:val="single" w:sz="6" w:space="0" w:color="000000"/>
              <w:left w:val="doub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snapToGrid w:val="0"/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普二</w:t>
            </w:r>
          </w:p>
        </w:tc>
        <w:tc>
          <w:tcPr>
            <w:tcW w:w="2224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數B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snapToGrid w:val="0"/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古文仁</w:t>
            </w:r>
          </w:p>
        </w:tc>
        <w:tc>
          <w:tcPr>
            <w:tcW w:w="5275" w:type="dxa"/>
            <w:gridSpan w:val="8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洪志瑋、古文仁、郭承約</w:t>
            </w:r>
          </w:p>
        </w:tc>
      </w:tr>
      <w:tr w:rsidR="00C02568">
        <w:trPr>
          <w:cantSplit/>
          <w:trHeight w:val="258"/>
        </w:trPr>
        <w:tc>
          <w:tcPr>
            <w:tcW w:w="472" w:type="dxa"/>
            <w:vMerge w:val="restart"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proofErr w:type="gramStart"/>
            <w:r>
              <w:rPr>
                <w:rFonts w:ascii="新細明體" w:hAnsi="新細明體"/>
                <w:b/>
                <w:szCs w:val="24"/>
              </w:rPr>
              <w:t>週</w:t>
            </w:r>
            <w:proofErr w:type="gramEnd"/>
          </w:p>
        </w:tc>
        <w:tc>
          <w:tcPr>
            <w:tcW w:w="804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起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迄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頁碼</w:t>
            </w:r>
          </w:p>
        </w:tc>
        <w:tc>
          <w:tcPr>
            <w:tcW w:w="2552" w:type="dxa"/>
            <w:gridSpan w:val="2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單 元 名 稱</w:t>
            </w:r>
          </w:p>
        </w:tc>
        <w:tc>
          <w:tcPr>
            <w:tcW w:w="2064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講 授 重 點</w:t>
            </w:r>
          </w:p>
        </w:tc>
        <w:tc>
          <w:tcPr>
            <w:tcW w:w="119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補充教材</w:t>
            </w:r>
          </w:p>
        </w:tc>
        <w:tc>
          <w:tcPr>
            <w:tcW w:w="709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講授方法</w:t>
            </w:r>
          </w:p>
        </w:tc>
        <w:tc>
          <w:tcPr>
            <w:tcW w:w="28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教具</w:t>
            </w:r>
          </w:p>
        </w:tc>
        <w:tc>
          <w:tcPr>
            <w:tcW w:w="284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作業</w:t>
            </w:r>
          </w:p>
        </w:tc>
        <w:tc>
          <w:tcPr>
            <w:tcW w:w="28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進度</w:t>
            </w:r>
          </w:p>
        </w:tc>
      </w:tr>
      <w:tr w:rsidR="00C02568">
        <w:trPr>
          <w:trHeight w:val="177"/>
        </w:trPr>
        <w:tc>
          <w:tcPr>
            <w:tcW w:w="472" w:type="dxa"/>
            <w:vMerge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804" w:type="dxa"/>
            <w:vMerge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迄</w:t>
            </w:r>
          </w:p>
        </w:tc>
        <w:tc>
          <w:tcPr>
            <w:tcW w:w="2552" w:type="dxa"/>
            <w:gridSpan w:val="2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5C0C10" w:rsidTr="009A705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02/14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 w:rsidP="00660DF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1-1空間概念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</w:tr>
      <w:tr w:rsidR="005C0C10" w:rsidTr="009A705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10" w:rsidRDefault="005C0C10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E57E94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02/28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E57E9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1-2空間坐標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E57E94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03/03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03/07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1-3圓錐曲線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197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4-2單點透視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7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第一次段考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8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03/31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191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4-1黃金比例與等角螺線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畢業旅行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77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2-1機率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2-2條件機率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113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2-3獨立事件的機率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130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2-4貝氏定理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第二次段考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D5790A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bookmarkStart w:id="0" w:name="_GoBack" w:colFirst="4" w:colLast="4"/>
            <w:r>
              <w:rPr>
                <w:rFonts w:ascii="新細明體" w:hAnsi="新細明體"/>
                <w:b/>
                <w:szCs w:val="24"/>
              </w:rPr>
              <w:t>15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05/23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138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D5790A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158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3-1矩陣及其加減乘運算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bookmarkEnd w:id="0"/>
      <w:tr w:rsidR="00B770C4" w:rsidTr="00D5790A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05/26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05/30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D5790A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D5790A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17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06/06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266EB7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18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06/13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159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266EB7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3-2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二階反方陣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與一次聯立方程式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B770C4" w:rsidTr="00266EB7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06/16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 w:rsidP="005C0C10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0C4" w:rsidRDefault="00B770C4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期末考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 w:rsidTr="00047D61">
        <w:trPr>
          <w:trHeight w:val="59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06/30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07/04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C0C10" w:rsidP="005C0C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結業式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481"/>
        </w:trPr>
        <w:tc>
          <w:tcPr>
            <w:tcW w:w="10915" w:type="dxa"/>
            <w:gridSpan w:val="1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pacing w:before="36"/>
              <w:rPr>
                <w:rFonts w:ascii="新細明體" w:hAnsi="新細明體"/>
                <w:b/>
                <w:sz w:val="18"/>
                <w:szCs w:val="18"/>
              </w:rPr>
            </w:pPr>
            <w:r>
              <w:rPr>
                <w:rFonts w:ascii="新細明體" w:hAnsi="新細明體"/>
                <w:b/>
                <w:sz w:val="18"/>
                <w:szCs w:val="18"/>
              </w:rPr>
              <w:t>１．擔任編寫進度之老師於各該科教學研究會開會後一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內將本表填妥並會同科目所有教師簽名後送交教學組，謝謝。</w:t>
            </w:r>
          </w:p>
          <w:p w:rsidR="00C02568" w:rsidRDefault="0057691A">
            <w:r>
              <w:rPr>
                <w:rFonts w:ascii="新細明體" w:hAnsi="新細明體"/>
                <w:b/>
                <w:sz w:val="18"/>
                <w:szCs w:val="18"/>
              </w:rPr>
              <w:t>２．同一科目同一年級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請各任課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老師於教學研究會時協商統一進度。３．敬請各科任課老師務必按預定進度逐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教學俾便命題。</w:t>
            </w:r>
          </w:p>
        </w:tc>
      </w:tr>
    </w:tbl>
    <w:p w:rsidR="00C02568" w:rsidRDefault="00C02568" w:rsidP="00047D61"/>
    <w:sectPr w:rsidR="00C02568">
      <w:pgSz w:w="11907" w:h="16840"/>
      <w:pgMar w:top="360" w:right="397" w:bottom="0" w:left="39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D8" w:rsidRDefault="00A807D8">
      <w:r>
        <w:separator/>
      </w:r>
    </w:p>
  </w:endnote>
  <w:endnote w:type="continuationSeparator" w:id="0">
    <w:p w:rsidR="00A807D8" w:rsidRDefault="00A8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D8" w:rsidRDefault="00A807D8">
      <w:r>
        <w:rPr>
          <w:color w:val="000000"/>
        </w:rPr>
        <w:separator/>
      </w:r>
    </w:p>
  </w:footnote>
  <w:footnote w:type="continuationSeparator" w:id="0">
    <w:p w:rsidR="00A807D8" w:rsidRDefault="00A8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68"/>
    <w:rsid w:val="00047D61"/>
    <w:rsid w:val="0057691A"/>
    <w:rsid w:val="005C0C10"/>
    <w:rsid w:val="00A807D8"/>
    <w:rsid w:val="00B32106"/>
    <w:rsid w:val="00B770C4"/>
    <w:rsid w:val="00BD50B9"/>
    <w:rsid w:val="00C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709D"/>
  <w15:docId w15:val="{ED5DCBA6-9CD2-423A-B387-4679B79A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both"/>
    </w:pPr>
    <w:rPr>
      <w:rFonts w:ascii="標楷體" w:eastAsia="標楷體" w:hAnsi="標楷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新細明體" w:hAnsi="新細明體"/>
      <w:sz w:val="22"/>
      <w:szCs w:val="22"/>
    </w:rPr>
  </w:style>
  <w:style w:type="paragraph" w:styleId="a6">
    <w:name w:val="Closing"/>
    <w:basedOn w:val="a"/>
    <w:pPr>
      <w:ind w:left="100"/>
    </w:pPr>
    <w:rPr>
      <w:rFonts w:ascii="新細明體" w:hAnsi="新細明體"/>
      <w:sz w:val="22"/>
      <w:szCs w:val="2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</dc:title>
  <dc:subject/>
  <dc:creator>ABC</dc:creator>
  <cp:lastModifiedBy>user</cp:lastModifiedBy>
  <cp:revision>3</cp:revision>
  <cp:lastPrinted>2025-01-23T07:13:00Z</cp:lastPrinted>
  <dcterms:created xsi:type="dcterms:W3CDTF">2025-02-12T05:34:00Z</dcterms:created>
  <dcterms:modified xsi:type="dcterms:W3CDTF">2025-02-12T05:53:00Z</dcterms:modified>
</cp:coreProperties>
</file>